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left="0" w:right="0" w:firstLine="283"/>
        <w:jc w:val="both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8553063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right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14.05.2025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0"/>
        <w:jc w:val="center"/>
        <w:spacing w:line="360" w:lineRule="auto"/>
        <w:shd w:val="clear" w:color="ffffff" w:fill="ffffff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</w:rPr>
        <w:t xml:space="preserve">В Самарской области продолжается работа по реализация 518-ФЗ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276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Во всех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муниципалитетах  Самарской области активно продолжается работа по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выявлению правообладателей ранее учтенных объектов недвижимости. Это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повышает качество и полноту данных Единого государствен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ного реестра недвижимости, что положительно повлияет на социально-экономическое развитие региона, инвестиционный климат, формирование консолидированных бюджетов по имущественным налогам и сборам, а главное - обеспечивает защиту прав собственников при реали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зации инвестиционных и инфраструктурных проектов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67"/>
        <w:jc w:val="both"/>
        <w:spacing w:line="276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94 152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объекта недви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жимости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актуализировано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самарским Росреестром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на 1 мая 2025 года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, из которых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на 7 330 объектов внесено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записей на основании актов органов местного самоуправления о выявлении правообладателей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67"/>
        <w:jc w:val="both"/>
        <w:spacing w:line="276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Необходимо отметить, что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по инициативе заявителей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было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з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арегистрировано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4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8 230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ранее возникших прав. С таким показателем Самарская область вошла в четверку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регионов Приволжского Федерального округа,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а также заняла 1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5 место по Российской Федерации по количеству таких оформленных прав.</w:t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67"/>
        <w:jc w:val="both"/>
        <w:spacing w:line="276" w:lineRule="auto"/>
        <w:shd w:val="clear" w:color="ffffff" w:fill="ffffff"/>
        <w:rPr>
          <w:rFonts w:ascii="Tinos" w:hAnsi="Tinos" w:eastAsia="Tinos" w:cs="Tinos"/>
          <w:color w:val="22222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Лидерами по решениям о выявлении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правообладателей стали города Самара, Тольятти, Новокуйбышевск, Сергиевский, Кинель-Черкасский и Кинельский районы, города Октябрьск, Жигулевск, Сызрань, Красноармейский, Похвистневский, Шигонский и П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риволжский районы.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46</cp:revision>
  <dcterms:modified xsi:type="dcterms:W3CDTF">2025-05-14T06:51:27Z</dcterms:modified>
</cp:coreProperties>
</file>