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7"/>
        <w:ind w:firstLine="0"/>
        <w:jc w:val="left"/>
        <w:spacing w:line="360" w:lineRule="auto"/>
        <w:rPr>
          <w:rFonts w:ascii="Tinos" w:hAnsi="Tinos" w:eastAsia="Tinos" w:cs="Tinos"/>
          <w:b/>
          <w:bCs/>
          <w:color w:val="252625"/>
          <w:sz w:val="26"/>
          <w:szCs w:val="26"/>
        </w:rPr>
      </w:pP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610473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b/>
          <w:bCs/>
          <w:color w:val="252625"/>
          <w:sz w:val="26"/>
          <w:szCs w:val="26"/>
        </w:rPr>
      </w:r>
      <w:r>
        <w:rPr>
          <w:rFonts w:ascii="Tinos" w:hAnsi="Tinos" w:eastAsia="Tinos" w:cs="Tinos"/>
          <w:b/>
          <w:bCs/>
          <w:color w:val="252625"/>
          <w:sz w:val="26"/>
          <w:szCs w:val="26"/>
        </w:rPr>
      </w:r>
    </w:p>
    <w:p>
      <w:pPr>
        <w:pStyle w:val="677"/>
        <w:ind w:firstLine="708"/>
        <w:jc w:val="left"/>
        <w:spacing w:line="360" w:lineRule="auto"/>
        <w:tabs>
          <w:tab w:val="left" w:pos="8366" w:leader="none"/>
        </w:tabs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pP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  <w:t xml:space="preserve">                                                                                                             02.04</w:t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  <w:t xml:space="preserve">.2025 г.</w:t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</w:p>
    <w:p>
      <w:pPr>
        <w:pStyle w:val="677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pP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</w:p>
    <w:p>
      <w:pPr>
        <w:pStyle w:val="677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52625"/>
          <w:sz w:val="28"/>
          <w:szCs w:val="28"/>
        </w:rPr>
      </w:pPr>
      <w:r>
        <w:rPr>
          <w:rFonts w:ascii="Tinos" w:hAnsi="Tinos" w:eastAsia="Tinos" w:cs="Tinos"/>
          <w:b/>
          <w:bCs/>
          <w:color w:val="252625"/>
          <w:sz w:val="28"/>
          <w:szCs w:val="28"/>
        </w:rPr>
      </w:r>
      <w:r>
        <w:rPr>
          <w:rFonts w:ascii="Tinos" w:hAnsi="Tinos" w:eastAsia="Tinos" w:cs="Tinos"/>
          <w:b/>
          <w:bCs/>
          <w:color w:val="252625"/>
          <w:sz w:val="28"/>
          <w:szCs w:val="28"/>
        </w:rPr>
        <w:t xml:space="preserve">Самарский Росреестр</w:t>
      </w:r>
      <w:r>
        <w:rPr>
          <w:rFonts w:ascii="Tinos" w:hAnsi="Tinos" w:eastAsia="Tinos" w:cs="Tinos"/>
          <w:b/>
          <w:bCs/>
          <w:color w:val="252625"/>
          <w:sz w:val="28"/>
          <w:szCs w:val="28"/>
        </w:rPr>
        <w:t xml:space="preserve"> напоминает о защите</w:t>
      </w:r>
      <w:r>
        <w:rPr>
          <w:rFonts w:ascii="Tinos" w:hAnsi="Tinos" w:eastAsia="Tinos" w:cs="Tinos"/>
          <w:b/>
          <w:bCs/>
          <w:color w:val="252625"/>
          <w:sz w:val="28"/>
          <w:szCs w:val="28"/>
        </w:rPr>
        <w:t xml:space="preserve"> своей недвижимости </w:t>
      </w:r>
      <w:r>
        <w:rPr>
          <w:rFonts w:ascii="Tinos" w:hAnsi="Tinos" w:eastAsia="Tinos" w:cs="Tinos"/>
          <w:b/>
          <w:bCs/>
          <w:color w:val="252625"/>
          <w:sz w:val="28"/>
          <w:szCs w:val="28"/>
        </w:rPr>
      </w:r>
      <w:r>
        <w:rPr>
          <w:rFonts w:ascii="Tinos" w:hAnsi="Tinos" w:eastAsia="Tinos" w:cs="Tinos"/>
          <w:b/>
          <w:bCs/>
          <w:color w:val="252625"/>
          <w:sz w:val="28"/>
          <w:szCs w:val="28"/>
        </w:rPr>
      </w:r>
    </w:p>
    <w:p>
      <w:pPr>
        <w:pStyle w:val="677"/>
        <w:ind w:firstLine="708"/>
        <w:jc w:val="center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auto"/>
          <w:sz w:val="28"/>
          <w:szCs w:val="28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Более 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14 000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заявлений о запрете сделок без личного участия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поступило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в самарский Росреестр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в I квартале 2025 года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.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Из них 30% заявлений было представлено в электронном виде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.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auto"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auto"/>
          <w:sz w:val="28"/>
          <w:szCs w:val="28"/>
        </w:rPr>
      </w:pPr>
      <w:r>
        <w:rPr>
          <w:rFonts w:ascii="Tinos" w:hAnsi="Tinos" w:eastAsia="Tinos" w:cs="Tinos"/>
          <w:color w:val="auto"/>
          <w:sz w:val="28"/>
          <w:szCs w:val="28"/>
        </w:rPr>
      </w:r>
      <w:r>
        <w:rPr>
          <w:rFonts w:ascii="Tinos" w:hAnsi="Tinos" w:eastAsia="Tinos" w:cs="Tinos"/>
          <w:color w:val="auto"/>
          <w:sz w:val="28"/>
          <w:szCs w:val="28"/>
        </w:rPr>
        <w:t xml:space="preserve">Напоминаем, что подать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такое заявление можно, придя в многофункциональный центр, или в электронном виде через «Личный кабинет», размещенный на сайте Росреестра </w:t>
      </w:r>
      <w:r>
        <w:rPr>
          <w:rFonts w:ascii="Tinos" w:hAnsi="Tinos" w:eastAsia="Tinos" w:cs="Tinos"/>
          <w:i/>
          <w:iCs/>
          <w:color w:val="auto"/>
          <w:sz w:val="28"/>
          <w:szCs w:val="28"/>
        </w:rPr>
        <w:t xml:space="preserve">(</w:t>
      </w:r>
      <w:hyperlink r:id="rId10" w:tooltip="https://vk.com/away.php?to=https%3A%2F%2Frosreestr.gov.ru&amp;post=-197326001_1159&amp;cc_key=&amp;track_code=" w:history="1">
        <w:r>
          <w:rPr>
            <w:rStyle w:val="845"/>
            <w:rFonts w:ascii="Tinos" w:hAnsi="Tinos" w:eastAsia="Tinos" w:cs="Tinos"/>
            <w:i/>
            <w:iCs/>
            <w:color w:val="auto"/>
            <w:sz w:val="28"/>
            <w:szCs w:val="28"/>
            <w:u w:val="none"/>
          </w:rPr>
          <w:t xml:space="preserve">https://rosreestr.gov.ru</w:t>
        </w:r>
      </w:hyperlink>
      <w:r>
        <w:rPr>
          <w:rFonts w:ascii="Tinos" w:hAnsi="Tinos" w:eastAsia="Tinos" w:cs="Tinos"/>
          <w:i/>
          <w:iCs/>
          <w:color w:val="auto"/>
          <w:sz w:val="28"/>
          <w:szCs w:val="28"/>
        </w:rPr>
        <w:t xml:space="preserve">)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без подписания усиленной квалифицированной электронной подписью заявителя</w:t>
      </w:r>
      <w:r>
        <w:rPr>
          <w:rFonts w:ascii="Tinos" w:hAnsi="Tinos" w:eastAsia="Tinos" w:cs="Tinos"/>
          <w:color w:val="auto"/>
          <w:sz w:val="28"/>
          <w:szCs w:val="28"/>
        </w:rPr>
        <w:t xml:space="preserve">.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Запись в ЕГРН вносится в срок не более пяти рабочих дней.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Госпошлина за услугу не взимается.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auto"/>
          <w:sz w:val="28"/>
          <w:szCs w:val="28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auto"/>
          <w:sz w:val="28"/>
          <w:szCs w:val="28"/>
        </w:rPr>
        <w:t xml:space="preserve">Важно, что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аннулировать такую запись можно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только при личном обращении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</w:t>
      </w:r>
      <w:r>
        <w:rPr>
          <w:rFonts w:ascii="Tinos" w:hAnsi="Tinos" w:eastAsia="Tinos" w:cs="Tinos"/>
          <w:color w:val="auto"/>
          <w:sz w:val="28"/>
          <w:szCs w:val="28"/>
        </w:rPr>
        <w:t xml:space="preserve">собственника</w:t>
      </w:r>
      <w:r>
        <w:rPr>
          <w:rFonts w:ascii="Tinos" w:hAnsi="Tinos" w:eastAsia="Tinos" w:cs="Tinos"/>
          <w:color w:val="auto"/>
          <w:sz w:val="28"/>
          <w:szCs w:val="28"/>
        </w:rPr>
        <w:t xml:space="preserve"> в МФЦ, а при продаже недвижимости в присутствии собственник</w:t>
      </w:r>
      <w:r>
        <w:rPr>
          <w:rFonts w:ascii="Tinos" w:hAnsi="Tinos" w:eastAsia="Tinos" w:cs="Tinos"/>
          <w:color w:val="auto"/>
          <w:sz w:val="28"/>
          <w:szCs w:val="28"/>
        </w:rPr>
        <w:t xml:space="preserve">а такая запись снимается автоматически.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ind w:left="0" w:right="0" w:firstLine="567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409607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6115050" cy="63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5"/>
    <w:next w:val="835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7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5"/>
    <w:next w:val="835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7"/>
    <w:link w:val="662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837"/>
    <w:link w:val="836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5"/>
    <w:next w:val="835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basedOn w:val="837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5"/>
    <w:next w:val="835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7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5"/>
    <w:next w:val="835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7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5"/>
    <w:next w:val="835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7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5"/>
    <w:next w:val="835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7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5"/>
    <w:next w:val="835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5"/>
    <w:next w:val="835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7"/>
    <w:link w:val="678"/>
    <w:uiPriority w:val="10"/>
    <w:rPr>
      <w:sz w:val="48"/>
      <w:szCs w:val="48"/>
    </w:rPr>
  </w:style>
  <w:style w:type="paragraph" w:styleId="680">
    <w:name w:val="Subtitle"/>
    <w:basedOn w:val="835"/>
    <w:next w:val="835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7"/>
    <w:link w:val="680"/>
    <w:uiPriority w:val="11"/>
    <w:rPr>
      <w:sz w:val="24"/>
      <w:szCs w:val="24"/>
    </w:rPr>
  </w:style>
  <w:style w:type="paragraph" w:styleId="682">
    <w:name w:val="Quote"/>
    <w:basedOn w:val="835"/>
    <w:next w:val="835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5"/>
    <w:next w:val="835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5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7"/>
    <w:link w:val="686"/>
    <w:uiPriority w:val="99"/>
  </w:style>
  <w:style w:type="paragraph" w:styleId="688">
    <w:name w:val="Footer"/>
    <w:basedOn w:val="835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7"/>
    <w:link w:val="688"/>
    <w:uiPriority w:val="99"/>
  </w:style>
  <w:style w:type="paragraph" w:styleId="690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7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7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paragraph" w:styleId="836">
    <w:name w:val="Heading 3"/>
    <w:basedOn w:val="835"/>
    <w:link w:val="844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paragraph" w:styleId="840">
    <w:name w:val="List Paragraph"/>
    <w:basedOn w:val="835"/>
    <w:uiPriority w:val="34"/>
    <w:qFormat/>
    <w:pPr>
      <w:contextualSpacing/>
      <w:ind w:left="720"/>
    </w:pPr>
  </w:style>
  <w:style w:type="paragraph" w:styleId="84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42">
    <w:name w:val="Balloon Text"/>
    <w:basedOn w:val="835"/>
    <w:link w:val="84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3" w:customStyle="1">
    <w:name w:val="Текст выноски Знак"/>
    <w:basedOn w:val="837"/>
    <w:link w:val="842"/>
    <w:uiPriority w:val="99"/>
    <w:semiHidden/>
    <w:rPr>
      <w:rFonts w:ascii="Segoe UI" w:hAnsi="Segoe UI" w:cs="Segoe UI"/>
      <w:sz w:val="18"/>
      <w:szCs w:val="18"/>
    </w:rPr>
  </w:style>
  <w:style w:type="character" w:styleId="844" w:customStyle="1">
    <w:name w:val="Заголовок 3 Знак"/>
    <w:basedOn w:val="837"/>
    <w:link w:val="836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45">
    <w:name w:val="Hyperlink"/>
    <w:basedOn w:val="837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vk.com/away.php?to=https%3A%2F%2Frosreestr.gov.ru&amp;post=-197326001_1159&amp;cc_key=&amp;track_code=" TargetMode="External"/><Relationship Id="rId11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Воистинова Ольга Игоревна</dc:creator>
  <cp:keywords/>
  <dc:description/>
  <cp:revision>18</cp:revision>
  <dcterms:created xsi:type="dcterms:W3CDTF">2024-12-13T11:08:00Z</dcterms:created>
  <dcterms:modified xsi:type="dcterms:W3CDTF">2025-04-02T07:56:08Z</dcterms:modified>
</cp:coreProperties>
</file>