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both"/>
        <w:spacing w:line="36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27524744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ind w:firstLine="0"/>
        <w:jc w:val="right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00.12.2024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</w:p>
    <w:p>
      <w:pPr>
        <w:ind w:firstLine="708"/>
        <w:jc w:val="center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В Самаре поставлен на кадастровый учет спортивный объект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</w:p>
    <w:p>
      <w:pPr>
        <w:ind w:firstLine="708"/>
        <w:jc w:val="center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</w:p>
    <w:p>
      <w:pPr>
        <w:ind w:firstLine="708"/>
        <w:jc w:val="both"/>
        <w:spacing w:line="360" w:lineRule="auto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В рамках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 реализации федерального проекта «Спорт - норма жизни» нацпроекта «Демография», инициированного Президентом Российской Федерации Владимиром Путиным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 в 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none"/>
        </w:rPr>
        <w:t xml:space="preserve">Самаре поставлен на кадастровый учет 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white"/>
        </w:rPr>
        <w:t xml:space="preserve">футбольный манеж, который возвели рядом со стадионом «Солидарность Арена».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ind w:firstLine="708"/>
        <w:jc w:val="both"/>
        <w:spacing w:line="360" w:lineRule="auto"/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white"/>
        </w:rPr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Спортивный объект распол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ожен по адресу: город Самара, улица Демократическая, 57В. Общая площадь манежа почти 15 000 кв. м, что позволяет вместить 498 зрителей и использовать его для проведения различных спортивных мероприятий, тренировок и соревнований на высоком уровне.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</w:p>
    <w:p>
      <w:pPr>
        <w:pStyle w:val="833"/>
        <w:ind w:firstLine="708"/>
        <w:jc w:val="both"/>
        <w:spacing w:line="360" w:lineRule="auto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С учетом растущего интереса к футболу, создание такого объекта сможет привлечь многих любителей и профессионалов, тем самым укрепляя статус Самары как города, способствующего развитию массового спорта.</w:t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</w:p>
    <w:p>
      <w:pPr>
        <w:pStyle w:val="833"/>
        <w:ind w:firstLine="708"/>
        <w:jc w:val="both"/>
        <w:spacing w:line="360" w:lineRule="auto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</w:p>
    <w:p>
      <w:pPr>
        <w:pStyle w:val="833"/>
        <w:ind w:firstLine="708"/>
        <w:spacing w:line="360" w:lineRule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096635" cy="18415"/>
                <wp:effectExtent l="0" t="0" r="0" b="635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190774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096631" cy="1841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0.05pt;height:1.45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2"/>
          <w:szCs w:val="22"/>
        </w:rPr>
        <w:t xml:space="preserve">Материал подготовлен Управлением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Росреестра по Самарской области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33"/>
        <w:ind w:firstLine="708"/>
        <w:spacing w:line="360" w:lineRule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2024-12-26T08:17:32Z</dcterms:modified>
</cp:coreProperties>
</file>